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B33"/>
          <w:sz w:val="44"/>
        </w:rPr>
        <w:t>Brandschutzordnung Teil A</w:t>
      </w:r>
    </w:p>
    <w:p>
      <w:r>
        <w:rPr>
          <w:color w:val="46545E"/>
          <w:sz w:val="20"/>
        </w:rPr>
        <w:t>Aushang für alle Personen in der Arbeitsstätte – ASR A2.2 Punkt 7.1 Absatz 2</w:t>
      </w:r>
    </w:p>
    <w:p>
      <w:r>
        <w:rPr>
          <w:i/>
          <w:color w:val="46545E"/>
          <w:sz w:val="18"/>
        </w:rPr>
        <w:t>Vorlage von kalibrat.de/v. Alles in [eckigen Klammern] gehört durch die Angaben des eigenen Betriebs ersetzt. Welche Maßnahmen nötig sind, ergibt die Gefährdungsbeurteilung.</w:t>
      </w:r>
    </w:p>
    <w:p>
      <w:pPr>
        <w:spacing w:before="320"/>
      </w:pPr>
      <w:r>
        <w:rPr>
          <w:b/>
          <w:color w:val="0B2B33"/>
          <w:sz w:val="28"/>
        </w:rPr>
        <w:t>Brände verhüten</w:t>
      </w:r>
    </w:p>
    <w:p>
      <w:pPr>
        <w:pStyle w:val="ListBullet"/>
        <w:spacing w:after="80"/>
      </w:pPr>
      <w:r>
        <w:t>Rauchverbot und Verbot von offenem Feuer beachten: [wo gilt es, wo ist es erlaubt]</w:t>
      </w:r>
    </w:p>
    <w:p>
      <w:pPr>
        <w:pStyle w:val="ListBullet"/>
        <w:spacing w:after="80"/>
      </w:pPr>
      <w:r>
        <w:t>Brennbares von Zündquellen fernhalten, Abfälle nicht ansammeln.</w:t>
      </w:r>
    </w:p>
    <w:p>
      <w:pPr>
        <w:pStyle w:val="ListBullet"/>
        <w:spacing w:after="80"/>
      </w:pPr>
      <w:r>
        <w:t>Heißarbeiten – schweißen, trennen, löten – nur mit Erlaubnisschein: [wer stellt ihn aus]</w:t>
      </w:r>
    </w:p>
    <w:p>
      <w:pPr>
        <w:pStyle w:val="ListBullet"/>
        <w:spacing w:after="80"/>
      </w:pPr>
      <w:r>
        <w:t>Flucht- und Rettungswege, Feuerlöscher und Brandmelder freihalten.</w:t>
      </w:r>
    </w:p>
    <w:p>
      <w:pPr>
        <w:pStyle w:val="ListBullet"/>
        <w:spacing w:after="80"/>
      </w:pPr>
      <w:r>
        <w:t>Brandschutztüren nicht verkeilen und nicht festbinden.</w:t>
      </w:r>
    </w:p>
    <w:p>
      <w:pPr>
        <w:pStyle w:val="ListBullet"/>
        <w:spacing w:after="80"/>
      </w:pPr>
      <w:r>
        <w:t>Elektrische Geräte nur unbeschädigt verwenden, Ladeplätze für Akkus: [wo]</w:t>
      </w:r>
    </w:p>
    <w:p>
      <w:pPr>
        <w:spacing w:before="320"/>
      </w:pPr>
      <w:r>
        <w:rPr>
          <w:b/>
          <w:color w:val="0B2B33"/>
          <w:sz w:val="28"/>
        </w:rPr>
        <w:t>Verhalten im Brandfall</w:t>
      </w:r>
    </w:p>
    <w:p>
      <w:pPr>
        <w:pStyle w:val="ListBullet"/>
        <w:spacing w:after="80"/>
      </w:pPr>
      <w:r>
        <w:t>1. Ruhe bewahren</w:t>
      </w:r>
    </w:p>
    <w:p>
      <w:pPr>
        <w:pStyle w:val="ListBullet"/>
        <w:spacing w:after="80"/>
      </w:pPr>
      <w:r>
        <w:t>2. Brand melden – Notruf 112, intern [Telefonnummer]. Wo brennt es? Was brennt? Wie viele Betroffene? Rückfragen abwarten.</w:t>
      </w:r>
    </w:p>
    <w:p>
      <w:pPr>
        <w:pStyle w:val="ListBullet"/>
        <w:spacing w:after="80"/>
      </w:pPr>
      <w:r>
        <w:t>3. In Sicherheit bringen – gefährdete Personen mitnehmen, Türen schließen, Fluchtwege benutzen, keine Aufzüge. Sammelstelle: [wo].</w:t>
      </w:r>
    </w:p>
    <w:p>
      <w:pPr>
        <w:pStyle w:val="ListBullet"/>
        <w:spacing w:after="80"/>
      </w:pPr>
      <w:r>
        <w:t>4. Löschversuch unternehmen – nur ohne eigene Gefährdung, Feuerlöscher: [wo hängen sie]. Sonst den Bereich verlassen.</w:t>
      </w:r>
    </w:p>
    <w:p>
      <w:pPr>
        <w:spacing w:before="320"/>
      </w:pPr>
      <w:r>
        <w:rPr>
          <w:b/>
          <w:color w:val="0B2B33"/>
          <w:sz w:val="28"/>
        </w:rPr>
        <w:t>Wer hilft</w:t>
      </w:r>
    </w:p>
    <w:p>
      <w:pPr>
        <w:pStyle w:val="ListBullet"/>
        <w:spacing w:after="80"/>
      </w:pPr>
      <w:r>
        <w:t>Brandschutzhelfer: [Namen]</w:t>
      </w:r>
    </w:p>
    <w:p>
      <w:pPr>
        <w:pStyle w:val="ListBullet"/>
        <w:spacing w:after="80"/>
      </w:pPr>
      <w:r>
        <w:t>Ersthelfer: [Namen, Telefon]</w:t>
      </w:r>
    </w:p>
    <w:p>
      <w:pPr>
        <w:pStyle w:val="ListBullet"/>
        <w:spacing w:after="80"/>
      </w:pPr>
      <w:r>
        <w:t>[Brandschutzbeauftragter, falls benannt]</w:t>
      </w:r>
    </w:p>
    <w:p>
      <w:pPr>
        <w:spacing w:before="360"/>
        <w:jc w:val="left"/>
      </w:pPr>
      <w:r>
        <w:rPr>
          <w:color w:val="46545E"/>
          <w:sz w:val="16"/>
        </w:rPr>
        <w:t>Aufbau nach ASR A2.2 Punkt 7.1 (Ausgabe Mai 2018). Die DIN 14096 regelt den Aufbau einer Brandschutzordnung im Einzelnen und wird hier nicht wiedergegeben. Alle Vorlagen: kalibrat.de/v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